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03D" w:rsidRPr="0052003D" w:rsidRDefault="0052003D" w:rsidP="0052003D">
      <w:pPr>
        <w:spacing w:after="0"/>
        <w:jc w:val="center"/>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Ochrona informacji</w:t>
      </w:r>
    </w:p>
    <w:p w:rsidR="0052003D" w:rsidRPr="0052003D" w:rsidRDefault="0052003D" w:rsidP="0052003D">
      <w:pPr>
        <w:spacing w:after="0"/>
        <w:jc w:val="both"/>
        <w:rPr>
          <w:rFonts w:ascii="Arial" w:eastAsia="Times New Roman" w:hAnsi="Arial" w:cs="Arial"/>
          <w:b/>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  Tajemnica Przedsiębiorstwa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podmiot</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ujawnienie lub wykorzystanie informacji jest konieczne do prawidłowego wykonania niniejszej umowy i zgodne z tą umową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Obowiązek zachowania w tajemnicy informacji, o których mowa w ust. 1 powyżej rozciąga się również na pracowników Zleceniobiorcy i inne osoby (w tym współpracujące w oparciu o umowy cywilnoprawne),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i nieograniczoną odpowiedzialność za działania lub zaniechania osób, które uzyskały dostęp do Tajemnicy Przedsiębiorstwa, w tym odpowiedzialność o której mowa w ust. </w:t>
      </w:r>
      <w:r w:rsidR="008044EE">
        <w:rPr>
          <w:rFonts w:ascii="Arial" w:eastAsia="Times New Roman" w:hAnsi="Arial" w:cs="Arial"/>
          <w:color w:val="000000"/>
          <w:sz w:val="20"/>
          <w:szCs w:val="20"/>
          <w:lang w:eastAsia="pl-PL"/>
        </w:rPr>
        <w:t>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Zleceniobiorca zobowiązany jest do zapoznania osób, o których mowa w ust. 4 powyżej z zasadami ochrony Tajemnicy Przedsiębiorstwa ANWIL S.A. obowiązującymi u Zleceniodawcy, w uzgodnionej pomiędzy Stronami formie i terminie, ale nie później niż przed rozpoczęciem przetwarzania Tajemnicy Przedsiębiorstwa ANWIL S.A.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w:t>
      </w:r>
      <w:r w:rsidR="008044EE">
        <w:rPr>
          <w:rFonts w:ascii="Arial" w:eastAsia="Times New Roman" w:hAnsi="Arial" w:cs="Arial"/>
          <w:color w:val="000000"/>
          <w:sz w:val="20"/>
          <w:szCs w:val="20"/>
          <w:lang w:eastAsia="pl-PL"/>
        </w:rPr>
        <w:t>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Nie później niż w terminie 5 (pięciu) dni roboczych po upływie okresu ochrony, o którym mowa w ust. 7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w:t>
      </w:r>
      <w:bookmarkStart w:id="0" w:name="_GoBack"/>
      <w:bookmarkEnd w:id="0"/>
      <w:r w:rsidRPr="0052003D">
        <w:rPr>
          <w:rFonts w:ascii="Arial" w:eastAsia="Times New Roman" w:hAnsi="Arial" w:cs="Arial"/>
          <w:color w:val="000000"/>
          <w:sz w:val="20"/>
          <w:szCs w:val="20"/>
          <w:lang w:eastAsia="pl-PL"/>
        </w:rPr>
        <w:t xml:space="preserve">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roku po okresie wskazanym w ust. 7 powyżej. Jeżeli Zleceniobiorca nie będzie w stanie tego zrobić z uwagi na np. ograniczenia technologiczne, wskazaną okoliczność zobowiązany jest również zgłosić Zleceniodawcy pod rygorem uznania tego jako nieuprawnione ujawnienie Tajemnicy Przedsiębiorstwa skutkujące odpowiedzialnością, o której mowa w ust. </w:t>
      </w:r>
      <w:r w:rsidR="008044EE">
        <w:rPr>
          <w:rFonts w:ascii="Arial" w:eastAsia="Times New Roman" w:hAnsi="Arial" w:cs="Arial"/>
          <w:color w:val="000000"/>
          <w:sz w:val="20"/>
          <w:szCs w:val="20"/>
          <w:lang w:eastAsia="pl-PL"/>
        </w:rPr>
        <w:t>9</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nieuprawnionego wykorzystania, przekazania lub ujawnienia przez Zleceniobiorcę Tajemnicy Przedsiębiorstwa, Zleceniodawca uprawniony jest do żądania od Zleceniobiorcy zapłaty kary umownej w wysokości _________zł (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w:t>
      </w:r>
      <w:r w:rsidRPr="0052003D">
        <w:rPr>
          <w:rFonts w:ascii="Arial" w:eastAsia="Times New Roman" w:hAnsi="Arial" w:cs="Arial"/>
          <w:color w:val="000000"/>
          <w:sz w:val="20"/>
          <w:szCs w:val="20"/>
          <w:lang w:eastAsia="pl-PL"/>
        </w:rPr>
        <w:lastRenderedPageBreak/>
        <w:t>ujawnienie osobie nieuprawnionej w znacznym stopniu zagraża lub narusza interesy Zleceniodawcy, Zleceniobiorca zobowiązuje się do stosowania zasad i warunków ochrony Tajemnicy Spółki ANWIL S.A. określonych w punkcie II.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rsidR="0052003D" w:rsidRPr="0052003D" w:rsidRDefault="0052003D" w:rsidP="0052003D">
      <w:pPr>
        <w:spacing w:after="0"/>
        <w:jc w:val="both"/>
        <w:rPr>
          <w:rFonts w:ascii="Arial" w:eastAsia="Times New Roman" w:hAnsi="Arial" w:cs="Arial"/>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II. Tajemnica Spółki ANWIL S.A.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 także postanowień niniejszego Rozdziału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zapoznania osób, o których mowa w ust. 4 powyżej z zasadami ochrony Tajemnicy Spółki ANWIL S.A. obowiązującymi u Zleceniodawcy, w uzgodnionej pomiędzy Stronami formie i terminie, ale nie później niż przed rozpoczęciem przetwarzania Tajemnicy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uzyskać uprzednią pisemną zgodę Zleceniodawcy na udostępnienie Tajemnicy Spółki ANWIL S.A. osobom trzecim.</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nie jest uprawniony do kopiowania materiałów przekazanych przez Zleceniodawcę i zawierających Tajemnicę Spółki ANWIL S.A., bez uprzedniego uzyskania uprzedniej pisemnej zgody Zleceniodawcy.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 xml:space="preserve">Zleceniobiorca nie jest uprawniony do oznaczania materiałów zawierających Tajemnicę Spółki ANWIL S.A. innymi niż „TAJEMNICA SPÓŁKI ANWIL S.A.” klauzulami lub oznaczeniami.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 _________zł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zwalczaniu nieuczciwej konkurencji.</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przypadkach konieczności wymiany materiałów zawierających Tajemnicę Przedsiębiorstwa, w tym Tajemnicę Spółki ANWIL S.A. w formie elektronicznej zastosowanie znajdują zasady postępowania określone w Załączniku nr 3.</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r w:rsidRPr="0052003D">
        <w:rPr>
          <w:rFonts w:ascii="Arial" w:eastAsia="Times New Roman" w:hAnsi="Arial" w:cs="Arial"/>
          <w:i/>
          <w:iCs/>
          <w:color w:val="000000"/>
          <w:sz w:val="20"/>
          <w:szCs w:val="20"/>
          <w:lang w:eastAsia="pl-PL"/>
        </w:rPr>
        <w:t> </w:t>
      </w:r>
    </w:p>
    <w:p w:rsidR="0052003D" w:rsidRPr="0052003D" w:rsidRDefault="0052003D" w:rsidP="0052003D">
      <w:pPr>
        <w:spacing w:after="0"/>
        <w:jc w:val="both"/>
        <w:rPr>
          <w:rFonts w:ascii="Arial" w:eastAsia="Times New Roman" w:hAnsi="Arial" w:cs="Arial"/>
          <w:b/>
          <w:i/>
          <w:iCs/>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i/>
          <w:iCs/>
          <w:color w:val="000000"/>
          <w:sz w:val="20"/>
          <w:szCs w:val="20"/>
          <w:lang w:eastAsia="pl-PL"/>
        </w:rPr>
        <w:br w:type="page"/>
      </w:r>
      <w:r w:rsidRPr="0052003D">
        <w:rPr>
          <w:rFonts w:ascii="Arial" w:eastAsia="Times New Roman" w:hAnsi="Arial" w:cs="Arial"/>
          <w:b/>
          <w:iCs/>
          <w:color w:val="000000"/>
          <w:sz w:val="20"/>
          <w:szCs w:val="20"/>
          <w:lang w:eastAsia="pl-PL"/>
        </w:rPr>
        <w:lastRenderedPageBreak/>
        <w:t xml:space="preserve">Załącznik nr 1 </w:t>
      </w:r>
      <w:r w:rsidRPr="0052003D">
        <w:rPr>
          <w:rFonts w:ascii="Arial" w:eastAsia="Times New Roman" w:hAnsi="Arial" w:cs="Arial"/>
          <w:iCs/>
          <w:color w:val="000000"/>
          <w:sz w:val="20"/>
          <w:szCs w:val="20"/>
          <w:lang w:eastAsia="pl-PL"/>
        </w:rPr>
        <w:t>Wykaz osób, które będą miały dostęp do Tajemnicy Przedsiębiorstwa, w tym Tajemnicy Spółki ANWIL S.A</w:t>
      </w: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WYKAZ  OSÓB*</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które będą miały dostęp do informacji stanowiących Tajemnicę Przedsiębiorstwa, w tym Tajemnicę Spółki ANWIL S.A. i/lub Tajemnicę Spółki innej Spółki, wchodzącej w skład GK ORLEN</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52003D" w:rsidRPr="0052003D" w:rsidTr="0052003D">
        <w:tc>
          <w:tcPr>
            <w:tcW w:w="9180" w:type="dxa"/>
            <w:gridSpan w:val="6"/>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b/>
              </w:rPr>
            </w:pPr>
          </w:p>
          <w:p w:rsidR="0052003D" w:rsidRPr="0052003D" w:rsidRDefault="0052003D">
            <w:pPr>
              <w:suppressAutoHyphens/>
              <w:spacing w:after="0" w:line="240" w:lineRule="auto"/>
              <w:jc w:val="center"/>
              <w:rPr>
                <w:rFonts w:ascii="Arial" w:hAnsi="Arial" w:cs="Arial"/>
              </w:rPr>
            </w:pPr>
            <w:r w:rsidRPr="0052003D">
              <w:rPr>
                <w:rFonts w:ascii="Arial" w:hAnsi="Arial" w:cs="Arial"/>
                <w:b/>
              </w:rPr>
              <w:t>Dotyczy realizacji umowy nr</w:t>
            </w:r>
            <w:r w:rsidRPr="0052003D">
              <w:rPr>
                <w:rFonts w:ascii="Arial" w:hAnsi="Arial" w:cs="Arial"/>
              </w:rPr>
              <w:t xml:space="preserve"> ________________ </w:t>
            </w:r>
            <w:r w:rsidRPr="0052003D">
              <w:rPr>
                <w:rFonts w:ascii="Arial" w:hAnsi="Arial" w:cs="Arial"/>
                <w:b/>
              </w:rPr>
              <w:t xml:space="preserve">z dnia </w:t>
            </w:r>
            <w:r w:rsidRPr="0052003D">
              <w:rPr>
                <w:rFonts w:ascii="Arial" w:hAnsi="Arial" w:cs="Arial"/>
              </w:rPr>
              <w:t xml:space="preserve"> ____________________</w:t>
            </w:r>
          </w:p>
          <w:p w:rsidR="0052003D" w:rsidRPr="0052003D" w:rsidRDefault="0052003D">
            <w:pPr>
              <w:suppressAutoHyphens/>
              <w:spacing w:after="0" w:line="240" w:lineRule="auto"/>
              <w:jc w:val="center"/>
              <w:rPr>
                <w:rFonts w:ascii="Arial" w:hAnsi="Arial" w:cs="Arial"/>
                <w:b/>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lang w:val="it-IT"/>
              </w:rPr>
            </w:pPr>
            <w:r w:rsidRPr="0052003D">
              <w:rPr>
                <w:rFonts w:ascii="Arial" w:hAnsi="Arial" w:cs="Arial"/>
                <w:b/>
                <w:lang w:val="it-IT"/>
              </w:rPr>
              <w:t xml:space="preserve">Stanowisko </w:t>
            </w:r>
            <w:r w:rsidRPr="0052003D">
              <w:rPr>
                <w:rFonts w:ascii="Arial" w:hAnsi="Arial" w:cs="Arial"/>
                <w:b/>
              </w:rPr>
              <w:t>osoby składającej oświadczenie</w:t>
            </w:r>
            <w:r w:rsidRPr="0052003D">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złożenia oświadczenia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przeszkolenia/ zapoznania się z zasadami ochrony informacji</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6</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bl>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Podmiot zewnętrzny zobowiązany jest do wskazania w wykazie wszelkich osób fizycznych, które w związku z realizacją niniejszej umowy mogą uzyskać dostęp do informacji stanowiących Tajemnice Przedsiębiorstwa, w tym Tajemnicę Spółki ANWIL S.A., lub Tajemnicy Spółki innej Spółki, wchodzącej w skład GK ORLEN w tym m.in.: pracowników podmiotów zewnętrznego, podwykonawców, doradców, audytorów oraz osób świadczących usługi na podstawie umów cywilnoprawnych</w:t>
      </w:r>
    </w:p>
    <w:p w:rsidR="0052003D" w:rsidRPr="0052003D" w:rsidRDefault="0052003D" w:rsidP="0052003D">
      <w:pPr>
        <w:spacing w:after="0"/>
        <w:jc w:val="both"/>
        <w:rPr>
          <w:rFonts w:ascii="Arial" w:eastAsia="Times New Roman" w:hAnsi="Arial" w:cs="Arial"/>
          <w:i/>
          <w:iCs/>
          <w:color w:val="000000"/>
          <w:sz w:val="16"/>
          <w:szCs w:val="16"/>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dotyczy osób zatrudnionych na umowę o pracę</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Data i podpis przedstawiciela podmiotu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odpowiedzialnego za realizację Umowy z ANWIL S.A.</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Otrzymują:</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komórka organizacyjna ANWIL S.A. odpowiedzialna za realizację umowy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Podmiot zewnętrzny realizujący umowę z ANWIL S.A. (oryginał)</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snapToGrid w:val="0"/>
          <w:color w:val="000000"/>
          <w:sz w:val="20"/>
          <w:szCs w:val="20"/>
          <w:lang w:eastAsia="pl-PL"/>
        </w:rPr>
        <w:br w:type="page"/>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iCs/>
          <w:color w:val="000000"/>
          <w:sz w:val="20"/>
          <w:szCs w:val="20"/>
          <w:lang w:eastAsia="pl-PL"/>
        </w:rPr>
        <w:lastRenderedPageBreak/>
        <w:t xml:space="preserve">Załącznik nr 2 </w:t>
      </w:r>
      <w:r w:rsidRPr="0052003D">
        <w:rPr>
          <w:rFonts w:ascii="Arial" w:eastAsia="Times New Roman" w:hAnsi="Arial" w:cs="Arial"/>
          <w:iCs/>
          <w:color w:val="000000"/>
          <w:sz w:val="20"/>
          <w:szCs w:val="20"/>
          <w:lang w:eastAsia="pl-PL"/>
        </w:rPr>
        <w:t>Wzór oświadczenia przeznaczony dla osób zatrudnionych w podmiocie zewnętrznym / świadczących usługi na rzecz podmiotu zewnętrznego o nieujawnianiu informacji stanowiących Tajemnicę Przedsiębiorstwa, w tym Tajemnicę Spółki ANWIL S.A. i/lub Tajemnicę Spółki innej Spółki</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right"/>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right"/>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(miejscowość, data)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(nazwisko i imię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(nazwa i adres siedziby podmiotu, w którym zatrudniona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jest osoba składająca oświadczenie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lub na rzecz którego świadczy usługi)</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(zajmowane stanowisko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O Ś W I A D C Z E N I E</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związku z wykonywaniem czynności służbowych wynikających z zawartej pomiędzy …………………………………... a ANWIL  S.A.  Umowy nr …………………………………. z dnia ………………..………… („Umowa”) niniejszym potwierdzam, własnoręcznym podpisem, że jestem świadomy(a) odpowiedzialności z tytułu naruszenia zasad ochrony Tajemnicy Przedsiębiorstwa, w tym Tajemnicy Spółki ANWIL S.A. / Tajemnicy Spółki innej Spółki wchodzącej w skład GK ORLEN**, wynikających z obowiązujących przepisów prawa w tym zakresie.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Zobowiązuję się nie ujawniać, nie przekazywać oraz nie wykorzystywać informacji stanowiących Tajemnicę Przedsiębiorstwa, w tym 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(podpis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Rozdzielnik:</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Osoba składająca oświadczenie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komórka organizacyjna ANWIL S.A. odpowiedzialna za realizację ww. umowy (oryginał)</w:t>
      </w:r>
    </w:p>
    <w:p w:rsidR="0052003D" w:rsidRPr="0052003D" w:rsidRDefault="0052003D" w:rsidP="0052003D">
      <w:pPr>
        <w:spacing w:after="0" w:line="240" w:lineRule="auto"/>
        <w:rPr>
          <w:rFonts w:ascii="Arial" w:hAnsi="Arial" w:cs="Arial"/>
          <w:sz w:val="16"/>
          <w:szCs w:val="16"/>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w:t>
      </w:r>
      <w:r w:rsidRPr="0052003D">
        <w:rPr>
          <w:rFonts w:ascii="Arial" w:eastAsia="Times New Roman" w:hAnsi="Arial" w:cs="Arial"/>
          <w:i/>
          <w:iCs/>
          <w:color w:val="000000"/>
          <w:sz w:val="16"/>
          <w:szCs w:val="16"/>
          <w:lang w:eastAsia="pl-PL"/>
        </w:rPr>
        <w:t>* dotyczy osób zatrudnionych na podstawie umowy o pracę</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należy wybrać właściwy zapis w zależności od tego, czy na podstawie Umowy przekazywana będzie Tajemnica Przedsiębiorstwa, w tym Tajemnica Spółki ANWIL S.A. / Tajemnica Spółki innej Spółki, wchodzącej w skład GK ORLEN</w:t>
      </w:r>
    </w:p>
    <w:p w:rsidR="0052003D" w:rsidRPr="0052003D" w:rsidRDefault="008044EE" w:rsidP="0052003D">
      <w:pPr>
        <w:spacing w:after="0"/>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v:rect id="_x0000_i1025" style="width:149.7pt;height:.75pt" o:hrpct="330" o:hrstd="t" o:hr="t" fillcolor="#a0a0a0" stroked="f"/>
        </w:pict>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p>
    <w:p w:rsidR="0052003D" w:rsidRDefault="0052003D">
      <w:pPr>
        <w:spacing w:after="160" w:line="259" w:lineRule="auto"/>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br w:type="page"/>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r w:rsidRPr="0052003D">
        <w:rPr>
          <w:rFonts w:ascii="Arial" w:eastAsia="Times New Roman" w:hAnsi="Arial" w:cs="Arial"/>
          <w:b/>
          <w:bCs/>
          <w:iCs/>
          <w:color w:val="000000"/>
          <w:sz w:val="20"/>
          <w:szCs w:val="20"/>
          <w:lang w:eastAsia="pl-PL"/>
        </w:rPr>
        <w:lastRenderedPageBreak/>
        <w:t>Załącznik nr 3</w:t>
      </w:r>
    </w:p>
    <w:p w:rsidR="0052003D" w:rsidRPr="0052003D" w:rsidRDefault="0052003D" w:rsidP="0052003D">
      <w:pPr>
        <w:spacing w:after="0"/>
        <w:contextualSpacing/>
        <w:jc w:val="both"/>
        <w:rPr>
          <w:rFonts w:ascii="Arial" w:eastAsia="Times New Roman" w:hAnsi="Arial" w:cs="Arial"/>
          <w:color w:val="000000"/>
          <w:sz w:val="20"/>
          <w:szCs w:val="20"/>
          <w:lang w:eastAsia="pl-PL"/>
        </w:rPr>
      </w:pPr>
    </w:p>
    <w:p w:rsidR="0052003D" w:rsidRPr="0052003D" w:rsidRDefault="0052003D" w:rsidP="0052003D">
      <w:pPr>
        <w:tabs>
          <w:tab w:val="center" w:pos="4536"/>
          <w:tab w:val="left" w:pos="5340"/>
        </w:tabs>
        <w:suppressAutoHyphens/>
        <w:spacing w:after="0"/>
        <w:jc w:val="center"/>
        <w:rPr>
          <w:rFonts w:ascii="Arial" w:hAnsi="Arial" w:cs="Arial"/>
          <w:b/>
          <w:sz w:val="20"/>
          <w:szCs w:val="20"/>
        </w:rPr>
      </w:pPr>
      <w:r w:rsidRPr="0052003D">
        <w:rPr>
          <w:rFonts w:ascii="Arial" w:hAnsi="Arial" w:cs="Arial"/>
          <w:b/>
          <w:sz w:val="20"/>
          <w:szCs w:val="20"/>
        </w:rPr>
        <w:t>ZASADY POSTĘPOWANIA W ZAKRESIE WYMIANY INFORMACJI STANOWIĄCYCH TAJEMNICĘ PRZEDSIĘBIORSTWA, W TYM TAJEMNICĘ SPÓŁKI ANWIL S.A. W FORMIE ELEKTRONICZNEJ</w:t>
      </w:r>
    </w:p>
    <w:p w:rsidR="0052003D" w:rsidRPr="0052003D" w:rsidRDefault="0052003D" w:rsidP="0052003D">
      <w:pPr>
        <w:tabs>
          <w:tab w:val="center" w:pos="4536"/>
          <w:tab w:val="left" w:pos="5340"/>
        </w:tabs>
        <w:suppressAutoHyphens/>
        <w:spacing w:after="0"/>
        <w:jc w:val="center"/>
        <w:rPr>
          <w:rFonts w:ascii="Arial" w:hAnsi="Arial" w:cs="Arial"/>
          <w:b/>
          <w:sz w:val="20"/>
          <w:szCs w:val="20"/>
        </w:rPr>
      </w:pP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szybkiej wymiany informacji stanowiących Tajemnicę Przedsiębiorstwa, w tym 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1.1</w:t>
      </w:r>
      <w:r w:rsidRPr="0052003D">
        <w:rPr>
          <w:rFonts w:ascii="Arial" w:hAnsi="Arial" w:cs="Arial"/>
          <w:sz w:val="20"/>
          <w:szCs w:val="20"/>
        </w:rPr>
        <w:tab/>
        <w:t xml:space="preserve">Przetwarzane załączniki zawierające informacje stanowiące Tajemnicę Przedsiębiorstwa, w tym Tajemnicę Spółki ANWIL S.A. podlegają zabezpieczeniu kryptograficznemu z użyciem algorytmu AES256 lub silniejszego, uzgodnionego pomiędzy stronami (np. oprogramowanie archiwizujące z wbudowanym algorytmem szyfrującym).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1.2</w:t>
      </w:r>
      <w:r w:rsidRPr="0052003D">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1.3</w:t>
      </w:r>
      <w:r w:rsidRPr="0052003D">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1.4</w:t>
      </w:r>
      <w:r w:rsidRPr="0052003D">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wymiany informacji stanowiących Tajemnicę Przedsiębiorstwa, w tym Tajemnicę Spółki ANWIL S.A. w formie elektronicznej, Zleceniodawca dopuszcza możliwość przekazywania ich z wykorzystaniem elektronicznych nośników informacji, z uwzględnieniem poniższych zasad bezpieczeństwa wynikających z polityki bezpieczeństwa informacji obowiązującej u Zleceniodawcy: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Wymiana elektronicznych nośników informacji odbywa się pomiędzy upoważnionymi osobami reprezentującymi Strony niniejszej Umowy.</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Informacje stanowiące Tajemnicę Przedsiębiorstwa, w tym Tajemnicę Spółki ANWIL S.A., zapisane do postaci pliku, podlegają zabezpieczeniu kryptograficznemu z użyciem algorytmu AES256 lub silniejszego (np. oprogramowanie archiwizujące z wbudowanym algorytmem szyfrującym).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Odbiorca potwierdza nadawcy fakt otrzymania nośnika z zaszyfrowanym plikiem.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Nadawca przekazuje hasło zabezpieczające (klucz szyfrujący) odbiorcy z zachowaniem zasady nieujawniania hasła osobom nieuprawnionym.</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Nadawca odpowiada za właściwe zabezpieczenie chroniące nośnik przed jego fizycznym uszkodzeniem.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Opis nośnika nie ujawnia charakteru zawartych na nim informacji.</w:t>
      </w:r>
    </w:p>
    <w:p w:rsidR="007E40A8" w:rsidRPr="0052003D" w:rsidRDefault="0052003D" w:rsidP="0052003D">
      <w:pPr>
        <w:numPr>
          <w:ilvl w:val="0"/>
          <w:numId w:val="3"/>
        </w:numPr>
        <w:suppressAutoHyphens/>
        <w:autoSpaceDE w:val="0"/>
        <w:autoSpaceDN w:val="0"/>
        <w:adjustRightInd w:val="0"/>
        <w:spacing w:after="0" w:line="256" w:lineRule="auto"/>
        <w:ind w:left="540" w:hanging="540"/>
        <w:jc w:val="both"/>
        <w:rPr>
          <w:rFonts w:ascii="Arial" w:hAnsi="Arial" w:cs="Arial"/>
          <w:sz w:val="20"/>
          <w:szCs w:val="20"/>
        </w:rPr>
      </w:pPr>
      <w:r w:rsidRPr="0052003D">
        <w:rPr>
          <w:rFonts w:ascii="Arial" w:hAnsi="Arial" w:cs="Arial"/>
          <w:sz w:val="20"/>
          <w:szCs w:val="20"/>
        </w:rPr>
        <w:t>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Tajemnicę Przedsiębiorstwa, w tym Tajemnicę Spółki ANWIL S.A.</w:t>
      </w:r>
    </w:p>
    <w:sectPr w:rsidR="007E40A8" w:rsidRPr="00520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3D"/>
    <w:rsid w:val="0052003D"/>
    <w:rsid w:val="007E40A8"/>
    <w:rsid w:val="008044EE"/>
    <w:rsid w:val="00903B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4E94C"/>
  <w15:chartTrackingRefBased/>
  <w15:docId w15:val="{61189AFD-CE02-4708-A60E-2546FB72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03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543963">
      <w:bodyDiv w:val="1"/>
      <w:marLeft w:val="0"/>
      <w:marRight w:val="0"/>
      <w:marTop w:val="0"/>
      <w:marBottom w:val="0"/>
      <w:divBdr>
        <w:top w:val="none" w:sz="0" w:space="0" w:color="auto"/>
        <w:left w:val="none" w:sz="0" w:space="0" w:color="auto"/>
        <w:bottom w:val="none" w:sz="0" w:space="0" w:color="auto"/>
        <w:right w:val="none" w:sz="0" w:space="0" w:color="auto"/>
      </w:divBdr>
      <w:divsChild>
        <w:div w:id="1821576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3237</Words>
  <Characters>19424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Kącki Piotr (ANW)</dc:creator>
  <cp:keywords/>
  <dc:description/>
  <cp:lastModifiedBy>Zielińska Małgorzata (ANW)</cp:lastModifiedBy>
  <cp:revision>3</cp:revision>
  <dcterms:created xsi:type="dcterms:W3CDTF">2023-09-07T08:03:00Z</dcterms:created>
  <dcterms:modified xsi:type="dcterms:W3CDTF">2024-10-29T06:59:00Z</dcterms:modified>
</cp:coreProperties>
</file>